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249" w:rsidRPr="00870249" w:rsidRDefault="00870249" w:rsidP="00AE3F73">
      <w:pPr>
        <w:jc w:val="both"/>
        <w:rPr>
          <w:rFonts w:ascii="Times New Roman" w:hAnsi="Times New Roman" w:cs="Times New Roman"/>
          <w:b/>
        </w:rPr>
      </w:pPr>
      <w:r>
        <w:rPr>
          <w:rFonts w:ascii="Times New Roman" w:hAnsi="Times New Roman" w:cs="Times New Roman"/>
          <w:b/>
        </w:rPr>
        <w:t xml:space="preserve">Nullità del contratto derivato IRS per difetto di meritevolezza. </w:t>
      </w:r>
      <w:bookmarkStart w:id="0" w:name="_GoBack"/>
      <w:bookmarkEnd w:id="0"/>
    </w:p>
    <w:p w:rsidR="005120DA" w:rsidRPr="00AE3F73" w:rsidRDefault="00282C5D" w:rsidP="00AE3F73">
      <w:pPr>
        <w:jc w:val="both"/>
        <w:rPr>
          <w:rFonts w:ascii="Times New Roman" w:hAnsi="Times New Roman" w:cs="Times New Roman"/>
        </w:rPr>
      </w:pPr>
      <w:r w:rsidRPr="00AE3F73">
        <w:rPr>
          <w:rFonts w:ascii="Times New Roman" w:hAnsi="Times New Roman" w:cs="Times New Roman"/>
        </w:rPr>
        <w:t>Con sentenza</w:t>
      </w:r>
      <w:r w:rsidR="009F6AD5">
        <w:rPr>
          <w:rFonts w:ascii="Times New Roman" w:hAnsi="Times New Roman" w:cs="Times New Roman"/>
        </w:rPr>
        <w:t xml:space="preserve"> n. </w:t>
      </w:r>
      <w:r w:rsidRPr="00AE3F73">
        <w:rPr>
          <w:rFonts w:ascii="Times New Roman" w:hAnsi="Times New Roman" w:cs="Times New Roman"/>
        </w:rPr>
        <w:t xml:space="preserve">19013 del 31 luglio 2017 </w:t>
      </w:r>
      <w:r w:rsidR="006370CD">
        <w:rPr>
          <w:rFonts w:ascii="Times New Roman" w:hAnsi="Times New Roman" w:cs="Times New Roman"/>
        </w:rPr>
        <w:t>la Corte di Cassazione ha</w:t>
      </w:r>
      <w:r w:rsidRPr="00AE3F73">
        <w:rPr>
          <w:rFonts w:ascii="Times New Roman" w:hAnsi="Times New Roman" w:cs="Times New Roman"/>
        </w:rPr>
        <w:t xml:space="preserve"> affrontato l</w:t>
      </w:r>
      <w:r w:rsidR="00A140B0">
        <w:rPr>
          <w:rFonts w:ascii="Times New Roman" w:hAnsi="Times New Roman" w:cs="Times New Roman"/>
        </w:rPr>
        <w:t>a</w:t>
      </w:r>
      <w:r w:rsidRPr="00AE3F73">
        <w:rPr>
          <w:rFonts w:ascii="Times New Roman" w:hAnsi="Times New Roman" w:cs="Times New Roman"/>
        </w:rPr>
        <w:t xml:space="preserve"> questione della meritevolezza dei contratti derivati IRS</w:t>
      </w:r>
      <w:r w:rsidR="00C310E0" w:rsidRPr="00AE3F73">
        <w:rPr>
          <w:rFonts w:ascii="Times New Roman" w:hAnsi="Times New Roman" w:cs="Times New Roman"/>
        </w:rPr>
        <w:t xml:space="preserve"> (</w:t>
      </w:r>
      <w:proofErr w:type="spellStart"/>
      <w:r w:rsidR="00C310E0" w:rsidRPr="00AE3F73">
        <w:rPr>
          <w:rFonts w:ascii="Times New Roman" w:hAnsi="Times New Roman" w:cs="Times New Roman"/>
          <w:i/>
        </w:rPr>
        <w:t>Interest</w:t>
      </w:r>
      <w:proofErr w:type="spellEnd"/>
      <w:r w:rsidR="00C310E0" w:rsidRPr="00AE3F73">
        <w:rPr>
          <w:rFonts w:ascii="Times New Roman" w:hAnsi="Times New Roman" w:cs="Times New Roman"/>
          <w:i/>
        </w:rPr>
        <w:t xml:space="preserve"> Rate swap</w:t>
      </w:r>
      <w:r w:rsidR="00C310E0" w:rsidRPr="00AE3F73">
        <w:rPr>
          <w:rFonts w:ascii="Times New Roman" w:hAnsi="Times New Roman" w:cs="Times New Roman"/>
        </w:rPr>
        <w:t>)</w:t>
      </w:r>
      <w:r w:rsidR="009F6AD5">
        <w:rPr>
          <w:rFonts w:ascii="Times New Roman" w:hAnsi="Times New Roman" w:cs="Times New Roman"/>
        </w:rPr>
        <w:t xml:space="preserve"> p</w:t>
      </w:r>
      <w:r w:rsidRPr="00AE3F73">
        <w:rPr>
          <w:rFonts w:ascii="Times New Roman" w:hAnsi="Times New Roman" w:cs="Times New Roman"/>
        </w:rPr>
        <w:t>rivi</w:t>
      </w:r>
      <w:r w:rsidR="009F6AD5">
        <w:rPr>
          <w:rFonts w:ascii="Times New Roman" w:hAnsi="Times New Roman" w:cs="Times New Roman"/>
        </w:rPr>
        <w:t xml:space="preserve"> di </w:t>
      </w:r>
      <w:proofErr w:type="gramStart"/>
      <w:r w:rsidR="009F6AD5">
        <w:rPr>
          <w:rFonts w:ascii="Times New Roman" w:hAnsi="Times New Roman" w:cs="Times New Roman"/>
        </w:rPr>
        <w:t>un’ “</w:t>
      </w:r>
      <w:proofErr w:type="gramEnd"/>
      <w:r w:rsidR="009F6AD5">
        <w:rPr>
          <w:rFonts w:ascii="Times New Roman" w:hAnsi="Times New Roman" w:cs="Times New Roman"/>
        </w:rPr>
        <w:t>effettiva”</w:t>
      </w:r>
      <w:r w:rsidRPr="00AE3F73">
        <w:rPr>
          <w:rFonts w:ascii="Times New Roman" w:hAnsi="Times New Roman" w:cs="Times New Roman"/>
        </w:rPr>
        <w:t xml:space="preserve"> funzione di copertura.</w:t>
      </w:r>
    </w:p>
    <w:p w:rsidR="00AE3F73" w:rsidRPr="00AE3F73" w:rsidRDefault="00C310E0" w:rsidP="00AE3F73">
      <w:pPr>
        <w:jc w:val="both"/>
        <w:rPr>
          <w:rFonts w:ascii="Times New Roman" w:hAnsi="Times New Roman" w:cs="Times New Roman"/>
        </w:rPr>
      </w:pPr>
      <w:r w:rsidRPr="00AE3F73">
        <w:rPr>
          <w:rFonts w:ascii="Times New Roman" w:hAnsi="Times New Roman" w:cs="Times New Roman"/>
        </w:rPr>
        <w:t>In particolare i ricorrenti lamentano il mancato accoglimento delle richieste formulate in appello dagli stessi inerenti taluni contratti derivati IRS, distintamente stipulati con la controparte. La Corte territoriale, previa qualificazione di entrambe le parti come “operatori qualificati” ha rigettato le domande di nullità proposte in relazione a detti contratti, come pure quelle subordinate di accertamento degli inadempimenti e violazioni di legge imputati alla Banca</w:t>
      </w:r>
      <w:r w:rsidR="00AE3F73" w:rsidRPr="00AE3F73">
        <w:rPr>
          <w:rFonts w:ascii="Times New Roman" w:hAnsi="Times New Roman" w:cs="Times New Roman"/>
        </w:rPr>
        <w:t>, con annessa richiesta di risoluzione dei contratti medesimi e, altresì, condanna a risarcimento di danni derivatine.</w:t>
      </w:r>
    </w:p>
    <w:p w:rsidR="00C310E0" w:rsidRDefault="00AE3F73" w:rsidP="00AE3F73">
      <w:pPr>
        <w:jc w:val="both"/>
        <w:rPr>
          <w:rFonts w:ascii="Times New Roman" w:hAnsi="Times New Roman" w:cs="Times New Roman"/>
        </w:rPr>
      </w:pPr>
      <w:r w:rsidRPr="00AE3F73">
        <w:rPr>
          <w:rFonts w:ascii="Times New Roman" w:hAnsi="Times New Roman" w:cs="Times New Roman"/>
        </w:rPr>
        <w:t xml:space="preserve">Prima entrare nel merito del ricorso è opportuno effettuare delle brevi considerazioni sui derivati IRS negoziati </w:t>
      </w:r>
      <w:r w:rsidRPr="00AE3F73">
        <w:rPr>
          <w:rFonts w:ascii="Times New Roman" w:hAnsi="Times New Roman" w:cs="Times New Roman"/>
          <w:i/>
        </w:rPr>
        <w:t>Over-the-</w:t>
      </w:r>
      <w:proofErr w:type="spellStart"/>
      <w:r w:rsidRPr="00AE3F73">
        <w:rPr>
          <w:rFonts w:ascii="Times New Roman" w:hAnsi="Times New Roman" w:cs="Times New Roman"/>
          <w:i/>
        </w:rPr>
        <w:t>counter</w:t>
      </w:r>
      <w:proofErr w:type="spellEnd"/>
      <w:r w:rsidRPr="00AE3F73">
        <w:rPr>
          <w:rFonts w:ascii="Times New Roman" w:hAnsi="Times New Roman" w:cs="Times New Roman"/>
          <w:i/>
        </w:rPr>
        <w:t xml:space="preserve"> </w:t>
      </w:r>
      <w:r w:rsidRPr="00AE3F73">
        <w:rPr>
          <w:rFonts w:ascii="Times New Roman" w:hAnsi="Times New Roman" w:cs="Times New Roman"/>
        </w:rPr>
        <w:t>(OTC</w:t>
      </w:r>
      <w:r w:rsidRPr="006C09C9">
        <w:rPr>
          <w:rFonts w:ascii="Times New Roman" w:hAnsi="Times New Roman" w:cs="Times New Roman"/>
        </w:rPr>
        <w:t>). Il contenuto e gli aspetti fondamentali di questi contratti</w:t>
      </w:r>
      <w:r w:rsidR="006370CD" w:rsidRPr="006C09C9">
        <w:rPr>
          <w:rFonts w:ascii="Times New Roman" w:hAnsi="Times New Roman" w:cs="Times New Roman"/>
        </w:rPr>
        <w:t>, infatti,</w:t>
      </w:r>
      <w:r w:rsidRPr="006C09C9">
        <w:rPr>
          <w:rFonts w:ascii="Times New Roman" w:hAnsi="Times New Roman" w:cs="Times New Roman"/>
        </w:rPr>
        <w:t xml:space="preserve"> non sono etero-regolamentati − al pari di </w:t>
      </w:r>
      <w:r w:rsidRPr="00AE3F73">
        <w:rPr>
          <w:rFonts w:ascii="Times New Roman" w:hAnsi="Times New Roman" w:cs="Times New Roman"/>
        </w:rPr>
        <w:t>quanto avviene per i contratti standardizzati –</w:t>
      </w:r>
      <w:r w:rsidR="00C310E0" w:rsidRPr="00AE3F73">
        <w:rPr>
          <w:rFonts w:ascii="Times New Roman" w:hAnsi="Times New Roman" w:cs="Times New Roman"/>
        </w:rPr>
        <w:t xml:space="preserve"> </w:t>
      </w:r>
      <w:r w:rsidRPr="00AE3F73">
        <w:rPr>
          <w:rFonts w:ascii="Times New Roman" w:hAnsi="Times New Roman" w:cs="Times New Roman"/>
        </w:rPr>
        <w:t xml:space="preserve">ma vengono definiti di volta in volta, </w:t>
      </w:r>
      <w:r w:rsidRPr="00AE3F73">
        <w:rPr>
          <w:rFonts w:ascii="Times New Roman" w:hAnsi="Times New Roman" w:cs="Times New Roman"/>
          <w:i/>
        </w:rPr>
        <w:t>ex novo</w:t>
      </w:r>
      <w:r w:rsidRPr="00AE3F73">
        <w:rPr>
          <w:rFonts w:ascii="Times New Roman" w:hAnsi="Times New Roman" w:cs="Times New Roman"/>
        </w:rPr>
        <w:t>, dall’intermediario quale controparte diretta del cliente-investitore</w:t>
      </w:r>
      <w:r w:rsidRPr="00AE3F73">
        <w:rPr>
          <w:rStyle w:val="Rimandonotaapidipagina"/>
          <w:rFonts w:ascii="Times New Roman" w:hAnsi="Times New Roman" w:cs="Times New Roman"/>
        </w:rPr>
        <w:footnoteReference w:id="1"/>
      </w:r>
      <w:r>
        <w:rPr>
          <w:rFonts w:ascii="Times New Roman" w:hAnsi="Times New Roman" w:cs="Times New Roman"/>
        </w:rPr>
        <w:t xml:space="preserve">. Ne deriva che, nella contrattazione OTC, l’intermediario sarà tenuto a </w:t>
      </w:r>
      <w:r w:rsidR="006370CD">
        <w:rPr>
          <w:rFonts w:ascii="Times New Roman" w:hAnsi="Times New Roman" w:cs="Times New Roman"/>
        </w:rPr>
        <w:t xml:space="preserve">prestare, in via prodromica, un servizio di consulenza finalizzato alla stipulazione </w:t>
      </w:r>
      <w:r w:rsidR="006370CD" w:rsidRPr="006370CD">
        <w:rPr>
          <w:rFonts w:ascii="Times New Roman" w:hAnsi="Times New Roman" w:cs="Times New Roman"/>
        </w:rPr>
        <w:t>«un contratto che non solo (invece di presupporlo), crea lo strumento finanziario, ma è anche caratterizzato dal fatto che il rapporto intercorre fra le stesse parti, una delle quali è proprio l’intermediario […]»</w:t>
      </w:r>
      <w:r w:rsidR="006370CD">
        <w:rPr>
          <w:rStyle w:val="Rimandonotaapidipagina"/>
          <w:rFonts w:ascii="Times New Roman" w:hAnsi="Times New Roman" w:cs="Times New Roman"/>
        </w:rPr>
        <w:footnoteReference w:id="2"/>
      </w:r>
      <w:r w:rsidR="006370CD">
        <w:rPr>
          <w:rFonts w:ascii="Times New Roman" w:hAnsi="Times New Roman" w:cs="Times New Roman"/>
        </w:rPr>
        <w:t xml:space="preserve">. Il contratto, quindi, avrà la duplice natura di servizio di investimento e di strumento finanziario cosicché ad esso si applicherà la disciplina sui servizi di investimento e le regole del TUF relative agli strumenti finanziari. La Consob, intervenuta sulla questione con la Comunicazione n. 9019104 del 2 marzo 2009 ha precisato che </w:t>
      </w:r>
      <w:r w:rsidR="006370CD" w:rsidRPr="006370CD">
        <w:rPr>
          <w:rFonts w:ascii="Times New Roman" w:hAnsi="Times New Roman" w:cs="Times New Roman"/>
        </w:rPr>
        <w:t>«con riferimento ai derivati negoziati OTC, l’assistenza fornita alla clientela nella fase di strutturazione di queste operazioni, create (o quantomeno presentate come) su misura per il cliente, pur in una logica di standardizzazione, presuppone intrinsecamente che il prodotto sia presentato come adatto alla clientela e rende, imprescindibile l’applicazione del regime di adeguatezza previsto in caso di svolgimento del servizio di consulenza in materia di investimenti».</w:t>
      </w:r>
      <w:r w:rsidR="006370CD">
        <w:rPr>
          <w:rFonts w:ascii="Times New Roman" w:hAnsi="Times New Roman" w:cs="Times New Roman"/>
        </w:rPr>
        <w:t xml:space="preserve"> </w:t>
      </w:r>
    </w:p>
    <w:p w:rsidR="006370CD" w:rsidRDefault="006370CD" w:rsidP="00AE3F73">
      <w:pPr>
        <w:jc w:val="both"/>
        <w:rPr>
          <w:rFonts w:ascii="Times New Roman" w:hAnsi="Times New Roman" w:cs="Times New Roman"/>
        </w:rPr>
      </w:pPr>
      <w:r>
        <w:rPr>
          <w:rFonts w:ascii="Times New Roman" w:hAnsi="Times New Roman" w:cs="Times New Roman"/>
        </w:rPr>
        <w:t xml:space="preserve">Nel caso di specie i giudici della Suprema Corte hanno accolto il </w:t>
      </w:r>
      <w:r w:rsidR="000730DA">
        <w:rPr>
          <w:rFonts w:ascii="Times New Roman" w:hAnsi="Times New Roman" w:cs="Times New Roman"/>
        </w:rPr>
        <w:t xml:space="preserve">secondo ed il terzo </w:t>
      </w:r>
      <w:r>
        <w:rPr>
          <w:rFonts w:ascii="Times New Roman" w:hAnsi="Times New Roman" w:cs="Times New Roman"/>
        </w:rPr>
        <w:t xml:space="preserve">motivo di ricorso, inerenti rispettivamente “la violazione e falsa applicazione dell’art. 21 </w:t>
      </w:r>
      <w:proofErr w:type="spellStart"/>
      <w:proofErr w:type="gramStart"/>
      <w:r>
        <w:rPr>
          <w:rFonts w:ascii="Times New Roman" w:hAnsi="Times New Roman" w:cs="Times New Roman"/>
        </w:rPr>
        <w:t>D.Lgs</w:t>
      </w:r>
      <w:proofErr w:type="gramEnd"/>
      <w:r>
        <w:rPr>
          <w:rFonts w:ascii="Times New Roman" w:hAnsi="Times New Roman" w:cs="Times New Roman"/>
        </w:rPr>
        <w:t>.</w:t>
      </w:r>
      <w:proofErr w:type="spellEnd"/>
      <w:r>
        <w:rPr>
          <w:rFonts w:ascii="Times New Roman" w:hAnsi="Times New Roman" w:cs="Times New Roman"/>
        </w:rPr>
        <w:t xml:space="preserve"> n. 58 del 1998 e degli articoli 1322 e 1418 c.c.” e </w:t>
      </w:r>
      <w:proofErr w:type="gramStart"/>
      <w:r>
        <w:rPr>
          <w:rFonts w:ascii="Times New Roman" w:hAnsi="Times New Roman" w:cs="Times New Roman"/>
        </w:rPr>
        <w:t>“ la</w:t>
      </w:r>
      <w:proofErr w:type="gramEnd"/>
      <w:r>
        <w:rPr>
          <w:rFonts w:ascii="Times New Roman" w:hAnsi="Times New Roman" w:cs="Times New Roman"/>
        </w:rPr>
        <w:t xml:space="preserve"> violazione e falsa applicazione dell’art. 21 </w:t>
      </w:r>
      <w:proofErr w:type="spellStart"/>
      <w:r>
        <w:rPr>
          <w:rFonts w:ascii="Times New Roman" w:hAnsi="Times New Roman" w:cs="Times New Roman"/>
        </w:rPr>
        <w:t>D.Lgs.</w:t>
      </w:r>
      <w:proofErr w:type="spellEnd"/>
      <w:r>
        <w:rPr>
          <w:rFonts w:ascii="Times New Roman" w:hAnsi="Times New Roman" w:cs="Times New Roman"/>
        </w:rPr>
        <w:t xml:space="preserve"> n. 58 del 1998</w:t>
      </w:r>
      <w:r w:rsidR="000730DA">
        <w:rPr>
          <w:rFonts w:ascii="Times New Roman" w:hAnsi="Times New Roman" w:cs="Times New Roman"/>
        </w:rPr>
        <w:t>”. In particolare, per quanto riguarda il secondo motivo di ricorso, i giudici d’appello avevano escluso che la banca fosse tenuta all’applicazione dell’art. 21</w:t>
      </w:r>
      <w:r w:rsidR="009F6AD5">
        <w:rPr>
          <w:rFonts w:ascii="Times New Roman" w:hAnsi="Times New Roman" w:cs="Times New Roman"/>
        </w:rPr>
        <w:t xml:space="preserve"> TUF −</w:t>
      </w:r>
      <w:r w:rsidR="000730DA">
        <w:rPr>
          <w:rFonts w:ascii="Times New Roman" w:hAnsi="Times New Roman" w:cs="Times New Roman"/>
        </w:rPr>
        <w:t xml:space="preserve"> e </w:t>
      </w:r>
      <w:r w:rsidR="009F6AD5">
        <w:rPr>
          <w:rFonts w:ascii="Times New Roman" w:hAnsi="Times New Roman" w:cs="Times New Roman"/>
        </w:rPr>
        <w:t>con</w:t>
      </w:r>
      <w:r w:rsidR="000730DA">
        <w:rPr>
          <w:rFonts w:ascii="Times New Roman" w:hAnsi="Times New Roman" w:cs="Times New Roman"/>
        </w:rPr>
        <w:t>seguenti</w:t>
      </w:r>
      <w:r w:rsidR="009F6AD5">
        <w:rPr>
          <w:rFonts w:ascii="Times New Roman" w:hAnsi="Times New Roman" w:cs="Times New Roman"/>
        </w:rPr>
        <w:t xml:space="preserve"> disposizioni</w:t>
      </w:r>
      <w:r w:rsidR="000730DA">
        <w:rPr>
          <w:rFonts w:ascii="Times New Roman" w:hAnsi="Times New Roman" w:cs="Times New Roman"/>
        </w:rPr>
        <w:t xml:space="preserve"> di cui al regolamento Consob n. 11522/1998</w:t>
      </w:r>
      <w:r w:rsidR="009F6AD5">
        <w:rPr>
          <w:rFonts w:ascii="Times New Roman" w:hAnsi="Times New Roman" w:cs="Times New Roman"/>
        </w:rPr>
        <w:t xml:space="preserve"> −</w:t>
      </w:r>
      <w:r w:rsidR="000730DA">
        <w:rPr>
          <w:rFonts w:ascii="Times New Roman" w:hAnsi="Times New Roman" w:cs="Times New Roman"/>
        </w:rPr>
        <w:t xml:space="preserve"> in quanto entrambe le parti rientravano nel novero degli “operatori qualificati”. Oltre alla statuizione sopra riportata i ricorrenti contestavano la motivazione che i giudici facevano a capo di essa. </w:t>
      </w:r>
      <w:r w:rsidR="00031853">
        <w:rPr>
          <w:rFonts w:ascii="Times New Roman" w:hAnsi="Times New Roman" w:cs="Times New Roman"/>
        </w:rPr>
        <w:t xml:space="preserve">Nell’analizzare suddetto motivo di ricorso, ritenuto preliminare e propedeutico all’analisi del successivo, i giudici evidenziano l’erroneità della statuizione della Corte territoriale sottolineando il carattere imperativo ed inderogabile dell’art. 21 TUF (da ultimo </w:t>
      </w:r>
      <w:proofErr w:type="spellStart"/>
      <w:r w:rsidR="00031853">
        <w:rPr>
          <w:rFonts w:ascii="Times New Roman" w:hAnsi="Times New Roman" w:cs="Times New Roman"/>
        </w:rPr>
        <w:t>Cass</w:t>
      </w:r>
      <w:proofErr w:type="spellEnd"/>
      <w:r w:rsidR="00031853">
        <w:rPr>
          <w:rFonts w:ascii="Times New Roman" w:hAnsi="Times New Roman" w:cs="Times New Roman"/>
        </w:rPr>
        <w:t>., 23 maggio 2016, n. 10640) e, altresì, l’assoluta estraneità della norma dell’art. 26 Reg. Consob n. 11522/1998 alla sottrazione di disciplina che la disposizione dell’art. 31, comma 1, dello stesso regolamento, determina in relazione alla categoria degli “operatori qualificati”. Pertanto ne deriva che, nella fattispecie in esame, saranno sicuramente applicabili l’art. 21 TUF e l’art. 26 delle norme regolamentari.</w:t>
      </w:r>
    </w:p>
    <w:p w:rsidR="00031853" w:rsidRDefault="003B79C3" w:rsidP="00AE3F73">
      <w:pPr>
        <w:jc w:val="both"/>
        <w:rPr>
          <w:rFonts w:ascii="Times New Roman" w:hAnsi="Times New Roman" w:cs="Times New Roman"/>
        </w:rPr>
      </w:pPr>
      <w:r>
        <w:rPr>
          <w:rFonts w:ascii="Times New Roman" w:hAnsi="Times New Roman" w:cs="Times New Roman"/>
        </w:rPr>
        <w:t>Data la vasta artic</w:t>
      </w:r>
      <w:r w:rsidR="009F6AD5">
        <w:rPr>
          <w:rFonts w:ascii="Times New Roman" w:hAnsi="Times New Roman" w:cs="Times New Roman"/>
        </w:rPr>
        <w:t>olazione operativa dei derivati,</w:t>
      </w:r>
      <w:r>
        <w:rPr>
          <w:rFonts w:ascii="Times New Roman" w:hAnsi="Times New Roman" w:cs="Times New Roman"/>
        </w:rPr>
        <w:t xml:space="preserve"> e data la mancanza di un’apposita disciplina negoziale di fonte legislativa, viene a specificarsi la clausola generale in base alla quale l’intermediario, nello svolgimento della sua attività, dovrà </w:t>
      </w:r>
      <w:r w:rsidRPr="003B79C3">
        <w:rPr>
          <w:rFonts w:ascii="Times New Roman" w:hAnsi="Times New Roman" w:cs="Times New Roman"/>
          <w:u w:val="single"/>
        </w:rPr>
        <w:t>necessariamente</w:t>
      </w:r>
      <w:r>
        <w:rPr>
          <w:rFonts w:ascii="Times New Roman" w:hAnsi="Times New Roman" w:cs="Times New Roman"/>
        </w:rPr>
        <w:t xml:space="preserve"> perseguire l’interesse dell’investitore. Qualora, come nel caso di specie, le parti abbiano inteso stipulare una serie di contratti che persegu</w:t>
      </w:r>
      <w:r w:rsidR="00F96234">
        <w:rPr>
          <w:rFonts w:ascii="Times New Roman" w:hAnsi="Times New Roman" w:cs="Times New Roman"/>
        </w:rPr>
        <w:t>an</w:t>
      </w:r>
      <w:r>
        <w:rPr>
          <w:rFonts w:ascii="Times New Roman" w:hAnsi="Times New Roman" w:cs="Times New Roman"/>
        </w:rPr>
        <w:t>o una oggettiva funzione di copertura, le operazioni effettuate dovranno rispettare determinate caratteristiche, definite dalla Consob</w:t>
      </w:r>
      <w:r w:rsidR="00DE2CEB">
        <w:rPr>
          <w:rFonts w:ascii="Times New Roman" w:hAnsi="Times New Roman" w:cs="Times New Roman"/>
        </w:rPr>
        <w:t xml:space="preserve"> (Determinazione Consob DI/99013791 del 1999)</w:t>
      </w:r>
      <w:r>
        <w:rPr>
          <w:rFonts w:ascii="Times New Roman" w:hAnsi="Times New Roman" w:cs="Times New Roman"/>
        </w:rPr>
        <w:t xml:space="preserve">, affinché i derivati possano considerarsi </w:t>
      </w:r>
      <w:r w:rsidR="009F6AD5">
        <w:rPr>
          <w:rFonts w:ascii="Times New Roman" w:hAnsi="Times New Roman" w:cs="Times New Roman"/>
        </w:rPr>
        <w:t>rispondenti a tale funzione</w:t>
      </w:r>
      <w:r>
        <w:rPr>
          <w:rFonts w:ascii="Times New Roman" w:hAnsi="Times New Roman" w:cs="Times New Roman"/>
        </w:rPr>
        <w:t>.</w:t>
      </w:r>
      <w:r w:rsidR="00DE2CEB">
        <w:rPr>
          <w:rFonts w:ascii="Times New Roman" w:hAnsi="Times New Roman" w:cs="Times New Roman"/>
        </w:rPr>
        <w:t xml:space="preserve"> Partendo da </w:t>
      </w:r>
      <w:r w:rsidR="009F6AD5">
        <w:rPr>
          <w:rFonts w:ascii="Times New Roman" w:hAnsi="Times New Roman" w:cs="Times New Roman"/>
        </w:rPr>
        <w:t>questo</w:t>
      </w:r>
      <w:r w:rsidR="00DE2CEB">
        <w:rPr>
          <w:rFonts w:ascii="Times New Roman" w:hAnsi="Times New Roman" w:cs="Times New Roman"/>
        </w:rPr>
        <w:t xml:space="preserve"> assunto i giudici sottolineano che, secondo quanto emerge dalla sentenza </w:t>
      </w:r>
      <w:r w:rsidR="009F6AD5">
        <w:rPr>
          <w:rFonts w:ascii="Times New Roman" w:hAnsi="Times New Roman" w:cs="Times New Roman"/>
        </w:rPr>
        <w:t>de</w:t>
      </w:r>
      <w:r w:rsidR="00DE2CEB">
        <w:rPr>
          <w:rFonts w:ascii="Times New Roman" w:hAnsi="Times New Roman" w:cs="Times New Roman"/>
        </w:rPr>
        <w:t xml:space="preserve">lla </w:t>
      </w:r>
      <w:r w:rsidR="00DE2CEB">
        <w:rPr>
          <w:rFonts w:ascii="Times New Roman" w:hAnsi="Times New Roman" w:cs="Times New Roman"/>
        </w:rPr>
        <w:lastRenderedPageBreak/>
        <w:t>Corte territoriale, le operazioni IRS intercorse tra le parti «non appaiono perseguire effettivamente una funzione di copertura» non rispettando una</w:t>
      </w:r>
      <w:r w:rsidR="009F6AD5">
        <w:rPr>
          <w:rFonts w:ascii="Times New Roman" w:hAnsi="Times New Roman" w:cs="Times New Roman"/>
        </w:rPr>
        <w:t xml:space="preserve"> delle condizioni</w:t>
      </w:r>
      <w:r w:rsidR="00DE2CEB">
        <w:rPr>
          <w:rFonts w:ascii="Times New Roman" w:hAnsi="Times New Roman" w:cs="Times New Roman"/>
        </w:rPr>
        <w:t xml:space="preserve"> indic</w:t>
      </w:r>
      <w:r w:rsidR="009F6AD5">
        <w:rPr>
          <w:rFonts w:ascii="Times New Roman" w:hAnsi="Times New Roman" w:cs="Times New Roman"/>
        </w:rPr>
        <w:t>ate</w:t>
      </w:r>
      <w:r w:rsidR="00DE2CEB">
        <w:rPr>
          <w:rFonts w:ascii="Times New Roman" w:hAnsi="Times New Roman" w:cs="Times New Roman"/>
        </w:rPr>
        <w:t xml:space="preserve"> nella Determinazione Consob. </w:t>
      </w:r>
    </w:p>
    <w:p w:rsidR="00DE2CEB" w:rsidRPr="00AE3F73" w:rsidRDefault="00DE2CEB" w:rsidP="00AE3F73">
      <w:pPr>
        <w:jc w:val="both"/>
        <w:rPr>
          <w:rFonts w:ascii="Times New Roman" w:hAnsi="Times New Roman" w:cs="Times New Roman"/>
        </w:rPr>
      </w:pPr>
      <w:r>
        <w:rPr>
          <w:rFonts w:ascii="Times New Roman" w:hAnsi="Times New Roman" w:cs="Times New Roman"/>
        </w:rPr>
        <w:t xml:space="preserve">Cassata la sentenza con rinvio alla Corte di Appello di Milano, quest’ultima, nel definire la controversia, dovrà attenersi al principio di diritto per cui «nel valutare, ai sensi della norma dell’art. 1332 c.c., la meritevolezza degli interessi perseguiti </w:t>
      </w:r>
      <w:r w:rsidR="009F6AD5">
        <w:rPr>
          <w:rFonts w:ascii="Times New Roman" w:hAnsi="Times New Roman" w:cs="Times New Roman"/>
        </w:rPr>
        <w:t>con un contratto derivato IRS, il giudice non può comunque prescindere dalle prescrizioni normative di cui all’art. 21 TUF e all’art. 26 Reg. Consob n. 11522 nonché, per i contratti IRS con funzione di copertura, dalla verifica dell’effettivo rispetto della condizioni stabilite dalla Consob con la Determinazione del 26 febbraio 1999».</w:t>
      </w:r>
    </w:p>
    <w:sectPr w:rsidR="00DE2CEB" w:rsidRPr="00AE3F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F90" w:rsidRDefault="00141F90" w:rsidP="00AE3F73">
      <w:pPr>
        <w:spacing w:after="0" w:line="240" w:lineRule="auto"/>
      </w:pPr>
      <w:r>
        <w:separator/>
      </w:r>
    </w:p>
  </w:endnote>
  <w:endnote w:type="continuationSeparator" w:id="0">
    <w:p w:rsidR="00141F90" w:rsidRDefault="00141F90" w:rsidP="00AE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F90" w:rsidRDefault="00141F90" w:rsidP="00AE3F73">
      <w:pPr>
        <w:spacing w:after="0" w:line="240" w:lineRule="auto"/>
      </w:pPr>
      <w:r>
        <w:separator/>
      </w:r>
    </w:p>
  </w:footnote>
  <w:footnote w:type="continuationSeparator" w:id="0">
    <w:p w:rsidR="00141F90" w:rsidRDefault="00141F90" w:rsidP="00AE3F73">
      <w:pPr>
        <w:spacing w:after="0" w:line="240" w:lineRule="auto"/>
      </w:pPr>
      <w:r>
        <w:continuationSeparator/>
      </w:r>
    </w:p>
  </w:footnote>
  <w:footnote w:id="1">
    <w:p w:rsidR="00AE3F73" w:rsidRPr="00AE3F73" w:rsidRDefault="00AE3F73" w:rsidP="00AE3F73">
      <w:pPr>
        <w:pStyle w:val="Testonotaapidipagina"/>
        <w:rPr>
          <w:rFonts w:ascii="Times New Roman" w:hAnsi="Times New Roman" w:cs="Times New Roman"/>
        </w:rPr>
      </w:pPr>
      <w:r w:rsidRPr="00AE3F73">
        <w:rPr>
          <w:rStyle w:val="Rimandonotaapidipagina"/>
          <w:rFonts w:ascii="Times New Roman" w:hAnsi="Times New Roman" w:cs="Times New Roman"/>
        </w:rPr>
        <w:footnoteRef/>
      </w:r>
      <w:r w:rsidRPr="00AE3F73">
        <w:rPr>
          <w:rFonts w:ascii="Times New Roman" w:hAnsi="Times New Roman" w:cs="Times New Roman"/>
        </w:rPr>
        <w:t xml:space="preserve"> </w:t>
      </w:r>
      <w:r w:rsidRPr="00AE3F73">
        <w:rPr>
          <w:rFonts w:ascii="Times New Roman" w:hAnsi="Times New Roman" w:cs="Times New Roman"/>
          <w:smallCaps/>
        </w:rPr>
        <w:t>D. Maffeis</w:t>
      </w:r>
      <w:r w:rsidRPr="00AE3F73">
        <w:rPr>
          <w:rFonts w:ascii="Times New Roman" w:hAnsi="Times New Roman" w:cs="Times New Roman"/>
        </w:rPr>
        <w:t xml:space="preserve">, </w:t>
      </w:r>
      <w:r w:rsidRPr="00AE3F73">
        <w:rPr>
          <w:rFonts w:ascii="Times New Roman" w:hAnsi="Times New Roman" w:cs="Times New Roman"/>
          <w:i/>
          <w:iCs/>
        </w:rPr>
        <w:t xml:space="preserve">Intermediario contro investitore: i derivati </w:t>
      </w:r>
      <w:r w:rsidRPr="00AE3F73">
        <w:rPr>
          <w:rFonts w:ascii="Times New Roman" w:hAnsi="Times New Roman" w:cs="Times New Roman"/>
        </w:rPr>
        <w:t xml:space="preserve">over the </w:t>
      </w:r>
      <w:proofErr w:type="spellStart"/>
      <w:r w:rsidRPr="00AE3F73">
        <w:rPr>
          <w:rFonts w:ascii="Times New Roman" w:hAnsi="Times New Roman" w:cs="Times New Roman"/>
        </w:rPr>
        <w:t>counter</w:t>
      </w:r>
      <w:proofErr w:type="spellEnd"/>
      <w:r w:rsidRPr="00AE3F73">
        <w:rPr>
          <w:rFonts w:ascii="Times New Roman" w:hAnsi="Times New Roman" w:cs="Times New Roman"/>
        </w:rPr>
        <w:t xml:space="preserve">, in </w:t>
      </w:r>
      <w:r w:rsidRPr="00AE3F73">
        <w:rPr>
          <w:rFonts w:ascii="Times New Roman" w:hAnsi="Times New Roman" w:cs="Times New Roman"/>
          <w:i/>
          <w:iCs/>
        </w:rPr>
        <w:t>Banca borsa</w:t>
      </w:r>
      <w:r w:rsidRPr="00AE3F73">
        <w:rPr>
          <w:rFonts w:ascii="Times New Roman" w:hAnsi="Times New Roman" w:cs="Times New Roman"/>
        </w:rPr>
        <w:t xml:space="preserve">, 2010, 6, I, </w:t>
      </w:r>
      <w:proofErr w:type="spellStart"/>
      <w:r w:rsidRPr="00AE3F73">
        <w:rPr>
          <w:rFonts w:ascii="Times New Roman" w:hAnsi="Times New Roman" w:cs="Times New Roman"/>
        </w:rPr>
        <w:t>pg</w:t>
      </w:r>
      <w:proofErr w:type="spellEnd"/>
      <w:r w:rsidRPr="00AE3F73">
        <w:rPr>
          <w:rFonts w:ascii="Times New Roman" w:hAnsi="Times New Roman" w:cs="Times New Roman"/>
        </w:rPr>
        <w:t>. 779.</w:t>
      </w:r>
    </w:p>
  </w:footnote>
  <w:footnote w:id="2">
    <w:p w:rsidR="006370CD" w:rsidRDefault="006370CD">
      <w:pPr>
        <w:pStyle w:val="Testonotaapidipagina"/>
      </w:pPr>
      <w:r>
        <w:rPr>
          <w:rStyle w:val="Rimandonotaapidipagina"/>
        </w:rPr>
        <w:footnoteRef/>
      </w:r>
      <w:r>
        <w:t xml:space="preserve"> </w:t>
      </w:r>
      <w:r w:rsidRPr="006370CD">
        <w:rPr>
          <w:rFonts w:ascii="Times New Roman" w:hAnsi="Times New Roman" w:cs="Times New Roman"/>
        </w:rPr>
        <w:t xml:space="preserve">P. Guidi, </w:t>
      </w:r>
      <w:r w:rsidRPr="006370CD">
        <w:rPr>
          <w:rFonts w:ascii="Times New Roman" w:hAnsi="Times New Roman" w:cs="Times New Roman"/>
          <w:i/>
        </w:rPr>
        <w:t>Le regole di comportamento degli intermediari finanziarie ed i contratti derivati</w:t>
      </w:r>
      <w:r w:rsidRPr="006370CD">
        <w:rPr>
          <w:rFonts w:ascii="Times New Roman" w:hAnsi="Times New Roman" w:cs="Times New Roman"/>
        </w:rPr>
        <w:t xml:space="preserve">, Relazione al convegno di Bergamo del 22-23 aprile 2012, in </w:t>
      </w:r>
      <w:r w:rsidRPr="006370CD">
        <w:rPr>
          <w:rFonts w:ascii="Times New Roman" w:hAnsi="Times New Roman" w:cs="Times New Roman"/>
          <w:i/>
        </w:rPr>
        <w:t>La fiducia ed i rapporti fiduciari</w:t>
      </w:r>
      <w:r w:rsidRPr="006370CD">
        <w:rPr>
          <w:rFonts w:ascii="Times New Roman" w:hAnsi="Times New Roman" w:cs="Times New Roman"/>
        </w:rPr>
        <w:t xml:space="preserve"> a cura di Ginevra, Milano, 2012, </w:t>
      </w:r>
      <w:proofErr w:type="spellStart"/>
      <w:r w:rsidRPr="006370CD">
        <w:rPr>
          <w:rFonts w:ascii="Times New Roman" w:hAnsi="Times New Roman" w:cs="Times New Roman"/>
        </w:rPr>
        <w:t>pg</w:t>
      </w:r>
      <w:proofErr w:type="spellEnd"/>
      <w:r w:rsidRPr="006370CD">
        <w:rPr>
          <w:rFonts w:ascii="Times New Roman" w:hAnsi="Times New Roman" w:cs="Times New Roman"/>
        </w:rPr>
        <w:t>. 344.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E4"/>
    <w:rsid w:val="00031853"/>
    <w:rsid w:val="0004503F"/>
    <w:rsid w:val="00053E87"/>
    <w:rsid w:val="000730DA"/>
    <w:rsid w:val="00141F90"/>
    <w:rsid w:val="001931E4"/>
    <w:rsid w:val="00270BAC"/>
    <w:rsid w:val="00282C5D"/>
    <w:rsid w:val="003B79C3"/>
    <w:rsid w:val="00626594"/>
    <w:rsid w:val="006370CD"/>
    <w:rsid w:val="006C09C9"/>
    <w:rsid w:val="007111DF"/>
    <w:rsid w:val="007127DD"/>
    <w:rsid w:val="00870249"/>
    <w:rsid w:val="009F6AD5"/>
    <w:rsid w:val="00A140B0"/>
    <w:rsid w:val="00AE3F73"/>
    <w:rsid w:val="00C310E0"/>
    <w:rsid w:val="00C51B57"/>
    <w:rsid w:val="00D370BF"/>
    <w:rsid w:val="00DE2CEB"/>
    <w:rsid w:val="00F35D8F"/>
    <w:rsid w:val="00F962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0774"/>
  <w15:chartTrackingRefBased/>
  <w15:docId w15:val="{56260ED3-56A7-4900-8D86-8CBA7C9D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E3F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3F73"/>
    <w:rPr>
      <w:sz w:val="20"/>
      <w:szCs w:val="20"/>
    </w:rPr>
  </w:style>
  <w:style w:type="character" w:styleId="Rimandonotaapidipagina">
    <w:name w:val="footnote reference"/>
    <w:basedOn w:val="Carpredefinitoparagrafo"/>
    <w:uiPriority w:val="99"/>
    <w:semiHidden/>
    <w:unhideWhenUsed/>
    <w:rsid w:val="00AE3F73"/>
    <w:rPr>
      <w:vertAlign w:val="superscript"/>
    </w:rPr>
  </w:style>
  <w:style w:type="paragraph" w:styleId="Intestazione">
    <w:name w:val="header"/>
    <w:basedOn w:val="Normale"/>
    <w:link w:val="IntestazioneCarattere"/>
    <w:uiPriority w:val="99"/>
    <w:unhideWhenUsed/>
    <w:rsid w:val="00AE3F73"/>
    <w:pPr>
      <w:tabs>
        <w:tab w:val="center" w:pos="4819"/>
        <w:tab w:val="right" w:pos="9638"/>
      </w:tabs>
      <w:spacing w:after="0" w:line="240" w:lineRule="auto"/>
      <w:ind w:firstLine="397"/>
      <w:jc w:val="both"/>
    </w:pPr>
    <w:rPr>
      <w:rFonts w:ascii="Times New Roman" w:hAnsi="Times New Roman"/>
      <w:sz w:val="24"/>
      <w:szCs w:val="24"/>
    </w:rPr>
  </w:style>
  <w:style w:type="character" w:customStyle="1" w:styleId="IntestazioneCarattere">
    <w:name w:val="Intestazione Carattere"/>
    <w:basedOn w:val="Carpredefinitoparagrafo"/>
    <w:link w:val="Intestazione"/>
    <w:uiPriority w:val="99"/>
    <w:rsid w:val="00AE3F7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C02A-6557-4A20-A548-51FD15DC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815</Words>
  <Characters>4648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isufi</dc:creator>
  <cp:keywords/>
  <dc:description/>
  <cp:lastModifiedBy>isufi</cp:lastModifiedBy>
  <cp:revision>8</cp:revision>
  <dcterms:created xsi:type="dcterms:W3CDTF">2017-08-21T14:03:00Z</dcterms:created>
  <dcterms:modified xsi:type="dcterms:W3CDTF">2017-09-18T12:17:00Z</dcterms:modified>
</cp:coreProperties>
</file>