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0DA" w:rsidRDefault="001579E3" w:rsidP="001579E3">
      <w:pPr>
        <w:jc w:val="both"/>
        <w:rPr>
          <w:rFonts w:ascii="Times New Roman" w:hAnsi="Times New Roman" w:cs="Times New Roman"/>
          <w:b/>
          <w:sz w:val="26"/>
          <w:szCs w:val="26"/>
        </w:rPr>
      </w:pPr>
      <w:r>
        <w:rPr>
          <w:rFonts w:ascii="Times New Roman" w:hAnsi="Times New Roman" w:cs="Times New Roman"/>
          <w:b/>
          <w:sz w:val="26"/>
          <w:szCs w:val="26"/>
        </w:rPr>
        <w:t>Nullità di protezione: la questione dei contratti bancari monofirma</w:t>
      </w:r>
    </w:p>
    <w:p w:rsidR="001579E3" w:rsidRDefault="001579E3" w:rsidP="001579E3">
      <w:pPr>
        <w:tabs>
          <w:tab w:val="left" w:pos="6394"/>
        </w:tabs>
        <w:jc w:val="both"/>
        <w:rPr>
          <w:rFonts w:ascii="Times New Roman" w:hAnsi="Times New Roman" w:cs="Times New Roman"/>
          <w:sz w:val="24"/>
          <w:szCs w:val="24"/>
        </w:rPr>
      </w:pPr>
      <w:r>
        <w:rPr>
          <w:rFonts w:ascii="Times New Roman" w:hAnsi="Times New Roman" w:cs="Times New Roman"/>
          <w:sz w:val="24"/>
          <w:szCs w:val="24"/>
        </w:rPr>
        <w:t xml:space="preserve">L’ordinanza 10447, del 27 aprile 2017, con cui la Prima sezione della Corte di Cassazione rimetteva al primo Presidente la decisione circa la validità dei contratti non sottoscritti dall’intermediario finanziario, ha ri-acceso il vivace dibattitto </w:t>
      </w:r>
      <w:r w:rsidR="00575263">
        <w:rPr>
          <w:rFonts w:ascii="Times New Roman" w:hAnsi="Times New Roman" w:cs="Times New Roman"/>
          <w:sz w:val="24"/>
          <w:szCs w:val="24"/>
        </w:rPr>
        <w:t>riguardante</w:t>
      </w:r>
      <w:r>
        <w:rPr>
          <w:rFonts w:ascii="Times New Roman" w:hAnsi="Times New Roman" w:cs="Times New Roman"/>
          <w:sz w:val="24"/>
          <w:szCs w:val="24"/>
        </w:rPr>
        <w:t xml:space="preserve"> i contratti monofirma.</w:t>
      </w:r>
      <w:r w:rsidR="008358F7">
        <w:rPr>
          <w:rFonts w:ascii="Times New Roman" w:hAnsi="Times New Roman" w:cs="Times New Roman"/>
          <w:sz w:val="24"/>
          <w:szCs w:val="24"/>
        </w:rPr>
        <w:t xml:space="preserve"> </w:t>
      </w:r>
      <w:r>
        <w:rPr>
          <w:rFonts w:ascii="Times New Roman" w:hAnsi="Times New Roman" w:cs="Times New Roman"/>
          <w:sz w:val="24"/>
          <w:szCs w:val="24"/>
        </w:rPr>
        <w:t xml:space="preserve">La questione si pone in un panorama −dottrinale e giurisprudenziale − frastagliato </w:t>
      </w:r>
      <w:r w:rsidR="008358F7">
        <w:rPr>
          <w:rFonts w:ascii="Times New Roman" w:hAnsi="Times New Roman" w:cs="Times New Roman"/>
          <w:sz w:val="24"/>
          <w:szCs w:val="24"/>
        </w:rPr>
        <w:t xml:space="preserve">in cui sono rinvenibili posizioni contrastanti circa la portata dell’art. 23 TUF. </w:t>
      </w:r>
    </w:p>
    <w:p w:rsidR="008358F7" w:rsidRDefault="008358F7" w:rsidP="001579E3">
      <w:pPr>
        <w:tabs>
          <w:tab w:val="left" w:pos="6394"/>
        </w:tabs>
        <w:jc w:val="both"/>
        <w:rPr>
          <w:rFonts w:ascii="Times New Roman" w:hAnsi="Times New Roman" w:cs="Times New Roman"/>
          <w:sz w:val="24"/>
          <w:szCs w:val="24"/>
        </w:rPr>
      </w:pPr>
      <w:r>
        <w:rPr>
          <w:rFonts w:ascii="Times New Roman" w:hAnsi="Times New Roman" w:cs="Times New Roman"/>
          <w:sz w:val="24"/>
          <w:szCs w:val="24"/>
        </w:rPr>
        <w:t xml:space="preserve">Nel caso di specie i ricorrenti chiedevano l’accertamento della nullità del contratto-quadro di gestione patrimoniale, investimento e finanziamento per mancata sottoscrizione da parte del funzionario della banca. </w:t>
      </w:r>
      <w:r w:rsidR="00A65CC2">
        <w:rPr>
          <w:rFonts w:ascii="Times New Roman" w:hAnsi="Times New Roman" w:cs="Times New Roman"/>
          <w:sz w:val="24"/>
          <w:szCs w:val="24"/>
        </w:rPr>
        <w:t xml:space="preserve">La richiesta attorea faceva leva sulla mancanza della forma scritta richiesta </w:t>
      </w:r>
      <w:r w:rsidR="00A65CC2">
        <w:rPr>
          <w:rFonts w:ascii="Times New Roman" w:hAnsi="Times New Roman" w:cs="Times New Roman"/>
          <w:i/>
          <w:sz w:val="24"/>
          <w:szCs w:val="24"/>
        </w:rPr>
        <w:t>ad substantiam</w:t>
      </w:r>
      <w:r w:rsidR="00A65CC2">
        <w:rPr>
          <w:rFonts w:ascii="Times New Roman" w:hAnsi="Times New Roman" w:cs="Times New Roman"/>
          <w:sz w:val="24"/>
          <w:szCs w:val="24"/>
        </w:rPr>
        <w:t xml:space="preserve"> </w:t>
      </w:r>
      <w:r w:rsidR="00A65CC2">
        <w:rPr>
          <w:rFonts w:ascii="Times New Roman" w:hAnsi="Times New Roman" w:cs="Times New Roman"/>
          <w:i/>
          <w:sz w:val="24"/>
          <w:szCs w:val="24"/>
        </w:rPr>
        <w:t xml:space="preserve">ex </w:t>
      </w:r>
      <w:r w:rsidR="00A65CC2">
        <w:rPr>
          <w:rFonts w:ascii="Times New Roman" w:hAnsi="Times New Roman" w:cs="Times New Roman"/>
          <w:sz w:val="24"/>
          <w:szCs w:val="24"/>
        </w:rPr>
        <w:t xml:space="preserve">artt. 23 del TUF e 30 del Regolamento Consob n. 16190/2007. </w:t>
      </w:r>
      <w:r w:rsidR="00A65CC2">
        <w:rPr>
          <w:rFonts w:ascii="Times New Roman" w:hAnsi="Times New Roman" w:cs="Times New Roman"/>
          <w:sz w:val="24"/>
          <w:szCs w:val="24"/>
        </w:rPr>
        <w:t>La banca convenuta</w:t>
      </w:r>
      <w:r>
        <w:rPr>
          <w:rFonts w:ascii="Times New Roman" w:hAnsi="Times New Roman" w:cs="Times New Roman"/>
          <w:sz w:val="24"/>
          <w:szCs w:val="24"/>
        </w:rPr>
        <w:t>, costituitasi in giudizio, produceva il contratto-quadro sottoscritto dal cliente</w:t>
      </w:r>
      <w:r w:rsidR="00A65CC2">
        <w:rPr>
          <w:rFonts w:ascii="Times New Roman" w:hAnsi="Times New Roman" w:cs="Times New Roman"/>
          <w:sz w:val="24"/>
          <w:szCs w:val="24"/>
        </w:rPr>
        <w:t>.</w:t>
      </w:r>
    </w:p>
    <w:p w:rsidR="00A65CC2" w:rsidRDefault="00A65CC2" w:rsidP="001579E3">
      <w:pPr>
        <w:tabs>
          <w:tab w:val="left" w:pos="6394"/>
        </w:tabs>
        <w:jc w:val="both"/>
        <w:rPr>
          <w:rFonts w:ascii="Times New Roman" w:hAnsi="Times New Roman" w:cs="Times New Roman"/>
          <w:sz w:val="24"/>
          <w:szCs w:val="24"/>
        </w:rPr>
      </w:pPr>
      <w:r>
        <w:rPr>
          <w:rFonts w:ascii="Times New Roman" w:hAnsi="Times New Roman" w:cs="Times New Roman"/>
          <w:sz w:val="24"/>
          <w:szCs w:val="24"/>
        </w:rPr>
        <w:t xml:space="preserve">Sebbene suddetti articoli richiedano, ai fini della validità del contratto, la forma scritta (la cui mancanza potrà essere eccepita </w:t>
      </w:r>
      <w:r>
        <w:rPr>
          <w:rFonts w:ascii="Times New Roman" w:hAnsi="Times New Roman" w:cs="Times New Roman"/>
          <w:i/>
          <w:sz w:val="24"/>
          <w:szCs w:val="24"/>
        </w:rPr>
        <w:t>esclusivamente</w:t>
      </w:r>
      <w:r>
        <w:rPr>
          <w:rFonts w:ascii="Times New Roman" w:hAnsi="Times New Roman" w:cs="Times New Roman"/>
          <w:sz w:val="24"/>
          <w:szCs w:val="24"/>
        </w:rPr>
        <w:t xml:space="preserve"> dal cliente)</w:t>
      </w:r>
      <w:r w:rsidR="009D2401">
        <w:rPr>
          <w:rFonts w:ascii="Times New Roman" w:hAnsi="Times New Roman" w:cs="Times New Roman"/>
          <w:sz w:val="24"/>
          <w:szCs w:val="24"/>
        </w:rPr>
        <w:t>,</w:t>
      </w:r>
      <w:r w:rsidR="00ED3874">
        <w:rPr>
          <w:rFonts w:ascii="Times New Roman" w:hAnsi="Times New Roman" w:cs="Times New Roman"/>
          <w:sz w:val="24"/>
          <w:szCs w:val="24"/>
        </w:rPr>
        <w:t xml:space="preserve"> dal tenore delle norme</w:t>
      </w:r>
      <w:r>
        <w:rPr>
          <w:rFonts w:ascii="Times New Roman" w:hAnsi="Times New Roman" w:cs="Times New Roman"/>
          <w:sz w:val="24"/>
          <w:szCs w:val="24"/>
        </w:rPr>
        <w:t xml:space="preserve"> non è ben chiaro se </w:t>
      </w:r>
      <w:r w:rsidR="0095684E">
        <w:rPr>
          <w:rFonts w:ascii="Times New Roman" w:hAnsi="Times New Roman" w:cs="Times New Roman"/>
          <w:sz w:val="24"/>
          <w:szCs w:val="24"/>
        </w:rPr>
        <w:t>sia</w:t>
      </w:r>
      <w:r w:rsidR="00D72EFC">
        <w:rPr>
          <w:rFonts w:ascii="Times New Roman" w:hAnsi="Times New Roman" w:cs="Times New Roman"/>
          <w:sz w:val="24"/>
          <w:szCs w:val="24"/>
        </w:rPr>
        <w:t>, o meno,</w:t>
      </w:r>
      <w:r w:rsidR="0095684E">
        <w:rPr>
          <w:rFonts w:ascii="Times New Roman" w:hAnsi="Times New Roman" w:cs="Times New Roman"/>
          <w:sz w:val="24"/>
          <w:szCs w:val="24"/>
        </w:rPr>
        <w:t xml:space="preserve"> necessaria</w:t>
      </w:r>
      <w:r w:rsidR="00D72EFC">
        <w:rPr>
          <w:rFonts w:ascii="Times New Roman" w:hAnsi="Times New Roman" w:cs="Times New Roman"/>
          <w:sz w:val="24"/>
          <w:szCs w:val="24"/>
        </w:rPr>
        <w:t xml:space="preserve"> </w:t>
      </w:r>
      <w:r>
        <w:rPr>
          <w:rFonts w:ascii="Times New Roman" w:hAnsi="Times New Roman" w:cs="Times New Roman"/>
          <w:sz w:val="24"/>
          <w:szCs w:val="24"/>
        </w:rPr>
        <w:t xml:space="preserve">la sottoscrizione dell’intermediario. </w:t>
      </w:r>
      <w:r w:rsidR="00575263">
        <w:rPr>
          <w:rFonts w:ascii="Times New Roman" w:hAnsi="Times New Roman" w:cs="Times New Roman"/>
          <w:sz w:val="24"/>
          <w:szCs w:val="24"/>
        </w:rPr>
        <w:t>Parte della dottrina</w:t>
      </w:r>
      <w:r w:rsidR="00ED3874">
        <w:rPr>
          <w:rFonts w:ascii="Times New Roman" w:hAnsi="Times New Roman" w:cs="Times New Roman"/>
          <w:sz w:val="24"/>
          <w:szCs w:val="24"/>
        </w:rPr>
        <w:t>,</w:t>
      </w:r>
      <w:r w:rsidR="00575263">
        <w:rPr>
          <w:rFonts w:ascii="Times New Roman" w:hAnsi="Times New Roman" w:cs="Times New Roman"/>
          <w:sz w:val="24"/>
          <w:szCs w:val="24"/>
        </w:rPr>
        <w:t xml:space="preserve"> e della giurisprudenza, guardando</w:t>
      </w:r>
      <w:r w:rsidR="0095684E">
        <w:rPr>
          <w:rFonts w:ascii="Times New Roman" w:hAnsi="Times New Roman" w:cs="Times New Roman"/>
          <w:sz w:val="24"/>
          <w:szCs w:val="24"/>
        </w:rPr>
        <w:t xml:space="preserve"> la materia in ottica protezionistica</w:t>
      </w:r>
      <w:r w:rsidR="00FC629B">
        <w:rPr>
          <w:rFonts w:ascii="Times New Roman" w:hAnsi="Times New Roman" w:cs="Times New Roman"/>
          <w:sz w:val="24"/>
          <w:szCs w:val="24"/>
        </w:rPr>
        <w:t>, sost</w:t>
      </w:r>
      <w:r w:rsidR="00571E5A">
        <w:rPr>
          <w:rFonts w:ascii="Times New Roman" w:hAnsi="Times New Roman" w:cs="Times New Roman"/>
          <w:sz w:val="24"/>
          <w:szCs w:val="24"/>
        </w:rPr>
        <w:t>engono</w:t>
      </w:r>
      <w:r w:rsidR="00FC629B">
        <w:rPr>
          <w:rFonts w:ascii="Times New Roman" w:hAnsi="Times New Roman" w:cs="Times New Roman"/>
          <w:sz w:val="24"/>
          <w:szCs w:val="24"/>
        </w:rPr>
        <w:t xml:space="preserve"> che</w:t>
      </w:r>
      <w:r w:rsidR="0095684E">
        <w:rPr>
          <w:rFonts w:ascii="Times New Roman" w:hAnsi="Times New Roman" w:cs="Times New Roman"/>
          <w:sz w:val="24"/>
          <w:szCs w:val="24"/>
        </w:rPr>
        <w:t xml:space="preserve"> la forma cui si fa riferimento</w:t>
      </w:r>
      <w:r w:rsidR="00FC629B">
        <w:rPr>
          <w:rFonts w:ascii="Times New Roman" w:hAnsi="Times New Roman" w:cs="Times New Roman"/>
          <w:sz w:val="24"/>
          <w:szCs w:val="24"/>
        </w:rPr>
        <w:t xml:space="preserve"> nella normativa sia</w:t>
      </w:r>
      <w:r w:rsidR="0095684E">
        <w:rPr>
          <w:rFonts w:ascii="Times New Roman" w:hAnsi="Times New Roman" w:cs="Times New Roman"/>
          <w:sz w:val="24"/>
          <w:szCs w:val="24"/>
        </w:rPr>
        <w:t xml:space="preserve"> quella ‘informativa’, cioè quella volta a portare all’attenzione del cliente (parte debole del rapporto)</w:t>
      </w:r>
      <w:r w:rsidR="00575263">
        <w:rPr>
          <w:rFonts w:ascii="Times New Roman" w:hAnsi="Times New Roman" w:cs="Times New Roman"/>
          <w:sz w:val="24"/>
          <w:szCs w:val="24"/>
        </w:rPr>
        <w:t xml:space="preserve"> le clausole e le caratteristiche</w:t>
      </w:r>
      <w:r w:rsidR="0095684E">
        <w:rPr>
          <w:rFonts w:ascii="Times New Roman" w:hAnsi="Times New Roman" w:cs="Times New Roman"/>
          <w:sz w:val="24"/>
          <w:szCs w:val="24"/>
        </w:rPr>
        <w:t xml:space="preserve"> del negozio che si accinge a compiere, fornendogli tutte le informazioni utili a tal fine. In questa ipotesi di ‘forma </w:t>
      </w:r>
      <w:r w:rsidR="0095684E" w:rsidRPr="0095684E">
        <w:rPr>
          <w:rFonts w:ascii="Times New Roman" w:hAnsi="Times New Roman" w:cs="Times New Roman"/>
          <w:sz w:val="24"/>
          <w:szCs w:val="24"/>
        </w:rPr>
        <w:t>di</w:t>
      </w:r>
      <w:r w:rsidR="0095684E">
        <w:rPr>
          <w:rFonts w:ascii="Times New Roman" w:hAnsi="Times New Roman" w:cs="Times New Roman"/>
          <w:i/>
          <w:sz w:val="24"/>
          <w:szCs w:val="24"/>
        </w:rPr>
        <w:t xml:space="preserve"> protezione’</w:t>
      </w:r>
      <w:r w:rsidR="0095684E">
        <w:rPr>
          <w:rFonts w:ascii="Times New Roman" w:hAnsi="Times New Roman" w:cs="Times New Roman"/>
          <w:sz w:val="24"/>
          <w:szCs w:val="24"/>
        </w:rPr>
        <w:t xml:space="preserve">, la sottoscrizione del contratto-quadro da parte del cliente sarebbe di per sé sufficiente per integrare il requisito formale </w:t>
      </w:r>
      <w:r w:rsidR="0095684E">
        <w:rPr>
          <w:rFonts w:ascii="Times New Roman" w:hAnsi="Times New Roman" w:cs="Times New Roman"/>
          <w:i/>
          <w:sz w:val="24"/>
          <w:szCs w:val="24"/>
        </w:rPr>
        <w:t xml:space="preserve">ex </w:t>
      </w:r>
      <w:r w:rsidR="00575263">
        <w:rPr>
          <w:rFonts w:ascii="Times New Roman" w:hAnsi="Times New Roman" w:cs="Times New Roman"/>
          <w:sz w:val="24"/>
          <w:szCs w:val="24"/>
        </w:rPr>
        <w:t>art. 23 TUF</w:t>
      </w:r>
      <w:r w:rsidR="00571E5A">
        <w:rPr>
          <w:rFonts w:ascii="Times New Roman" w:hAnsi="Times New Roman" w:cs="Times New Roman"/>
          <w:sz w:val="24"/>
          <w:szCs w:val="24"/>
        </w:rPr>
        <w:t>,</w:t>
      </w:r>
      <w:r w:rsidR="00575263">
        <w:rPr>
          <w:rFonts w:ascii="Times New Roman" w:hAnsi="Times New Roman" w:cs="Times New Roman"/>
          <w:sz w:val="24"/>
          <w:szCs w:val="24"/>
        </w:rPr>
        <w:t xml:space="preserve"> con la conseguenza che l’unica volontà che deve risultare per iscritto −</w:t>
      </w:r>
      <w:r w:rsidR="00575263">
        <w:rPr>
          <w:rFonts w:ascii="Times New Roman" w:hAnsi="Times New Roman" w:cs="Times New Roman"/>
          <w:i/>
          <w:sz w:val="24"/>
          <w:szCs w:val="24"/>
        </w:rPr>
        <w:t>ad substantiam</w:t>
      </w:r>
      <w:r w:rsidR="00575263" w:rsidRPr="00575263">
        <w:rPr>
          <w:rFonts w:ascii="Times New Roman" w:hAnsi="Times New Roman" w:cs="Times New Roman"/>
          <w:sz w:val="24"/>
          <w:szCs w:val="24"/>
        </w:rPr>
        <w:t>−</w:t>
      </w:r>
      <w:r w:rsidR="00575263">
        <w:rPr>
          <w:rFonts w:ascii="Times New Roman" w:hAnsi="Times New Roman" w:cs="Times New Roman"/>
          <w:sz w:val="24"/>
          <w:szCs w:val="24"/>
        </w:rPr>
        <w:t xml:space="preserve"> sia quella dell’investitore ben potendo la banca manifestarla in qualsiasi altro modo consentito dall’ordinamento.</w:t>
      </w:r>
      <w:r w:rsidR="00FC629B">
        <w:rPr>
          <w:rFonts w:ascii="Times New Roman" w:hAnsi="Times New Roman" w:cs="Times New Roman"/>
          <w:sz w:val="24"/>
          <w:szCs w:val="24"/>
        </w:rPr>
        <w:t xml:space="preserve"> Contrariamente, la restante parte (spiccano in tal senso numerose sentenze della Suprema Corte: n. 6559/2017, 5919/2016, 8395/2016,10331/2016), pur riconoscendo la finalità protezionistica della forma scritta in materia bancaria e finanziaria, propende per la rilevanza </w:t>
      </w:r>
      <w:r w:rsidR="00FC629B">
        <w:rPr>
          <w:rFonts w:ascii="Times New Roman" w:hAnsi="Times New Roman" w:cs="Times New Roman"/>
          <w:i/>
          <w:sz w:val="24"/>
          <w:szCs w:val="24"/>
        </w:rPr>
        <w:t xml:space="preserve">ad validitatem actus </w:t>
      </w:r>
      <w:r w:rsidR="00FC629B">
        <w:rPr>
          <w:rFonts w:ascii="Times New Roman" w:hAnsi="Times New Roman" w:cs="Times New Roman"/>
          <w:sz w:val="24"/>
          <w:szCs w:val="24"/>
        </w:rPr>
        <w:t>della sottoscrizione della banca.</w:t>
      </w:r>
    </w:p>
    <w:p w:rsidR="00FC629B" w:rsidRPr="00ED3874" w:rsidRDefault="00FC629B" w:rsidP="001579E3">
      <w:pPr>
        <w:tabs>
          <w:tab w:val="left" w:pos="6394"/>
        </w:tabs>
        <w:jc w:val="both"/>
        <w:rPr>
          <w:rFonts w:ascii="Times New Roman" w:hAnsi="Times New Roman" w:cs="Times New Roman"/>
          <w:sz w:val="24"/>
          <w:szCs w:val="24"/>
        </w:rPr>
      </w:pPr>
      <w:r>
        <w:rPr>
          <w:rFonts w:ascii="Times New Roman" w:hAnsi="Times New Roman" w:cs="Times New Roman"/>
          <w:sz w:val="24"/>
          <w:szCs w:val="24"/>
        </w:rPr>
        <w:t>Ora la pa</w:t>
      </w:r>
      <w:r w:rsidR="00ED3874">
        <w:rPr>
          <w:rFonts w:ascii="Times New Roman" w:hAnsi="Times New Roman" w:cs="Times New Roman"/>
          <w:sz w:val="24"/>
          <w:szCs w:val="24"/>
        </w:rPr>
        <w:t xml:space="preserve">rola spetta </w:t>
      </w:r>
      <w:r>
        <w:rPr>
          <w:rFonts w:ascii="Times New Roman" w:hAnsi="Times New Roman" w:cs="Times New Roman"/>
          <w:sz w:val="24"/>
          <w:szCs w:val="24"/>
        </w:rPr>
        <w:t xml:space="preserve">alle Sezioni Unite </w:t>
      </w:r>
      <w:r w:rsidR="009D2401">
        <w:rPr>
          <w:rFonts w:ascii="Times New Roman" w:hAnsi="Times New Roman" w:cs="Times New Roman"/>
          <w:sz w:val="24"/>
          <w:szCs w:val="24"/>
        </w:rPr>
        <w:t>che</w:t>
      </w:r>
      <w:r>
        <w:rPr>
          <w:rFonts w:ascii="Times New Roman" w:hAnsi="Times New Roman" w:cs="Times New Roman"/>
          <w:sz w:val="24"/>
          <w:szCs w:val="24"/>
        </w:rPr>
        <w:t xml:space="preserve"> </w:t>
      </w:r>
      <w:r w:rsidR="00ED3874">
        <w:rPr>
          <w:rFonts w:ascii="Times New Roman" w:hAnsi="Times New Roman" w:cs="Times New Roman"/>
          <w:sz w:val="24"/>
          <w:szCs w:val="24"/>
        </w:rPr>
        <w:t>dovranno</w:t>
      </w:r>
      <w:r>
        <w:rPr>
          <w:rFonts w:ascii="Times New Roman" w:hAnsi="Times New Roman" w:cs="Times New Roman"/>
          <w:sz w:val="24"/>
          <w:szCs w:val="24"/>
        </w:rPr>
        <w:t xml:space="preserve"> verificare se un requisito formale, posto a presidio della parte debole del rapporto, possa essere ignorato anche laddove si sia raggiunto lo scopo che la norma si era prefissata. In tal senso, anche coerentemente con gli obblighi di buona fede e correttezza (</w:t>
      </w:r>
      <w:r>
        <w:rPr>
          <w:rFonts w:ascii="Times New Roman" w:hAnsi="Times New Roman" w:cs="Times New Roman"/>
          <w:i/>
          <w:sz w:val="24"/>
          <w:szCs w:val="24"/>
        </w:rPr>
        <w:t xml:space="preserve">ex </w:t>
      </w:r>
      <w:r>
        <w:rPr>
          <w:rFonts w:ascii="Times New Roman" w:hAnsi="Times New Roman" w:cs="Times New Roman"/>
          <w:sz w:val="24"/>
          <w:szCs w:val="24"/>
        </w:rPr>
        <w:t>artt. 1175 e 1375 c.c.) che presiedono ogni tipologia di rapporto contrattuale,</w:t>
      </w:r>
      <w:r w:rsidR="009D2401">
        <w:rPr>
          <w:rFonts w:ascii="Times New Roman" w:hAnsi="Times New Roman" w:cs="Times New Roman"/>
          <w:sz w:val="24"/>
          <w:szCs w:val="24"/>
        </w:rPr>
        <w:t xml:space="preserve"> si potrebbe pensare che</w:t>
      </w:r>
      <w:r>
        <w:rPr>
          <w:rFonts w:ascii="Times New Roman" w:hAnsi="Times New Roman" w:cs="Times New Roman"/>
          <w:sz w:val="24"/>
          <w:szCs w:val="24"/>
        </w:rPr>
        <w:t xml:space="preserve"> </w:t>
      </w:r>
      <w:r w:rsidR="00ED3874">
        <w:rPr>
          <w:rFonts w:ascii="Times New Roman" w:hAnsi="Times New Roman" w:cs="Times New Roman"/>
          <w:sz w:val="24"/>
          <w:szCs w:val="24"/>
        </w:rPr>
        <w:t xml:space="preserve">la soluzione </w:t>
      </w:r>
      <w:r w:rsidR="00C20392">
        <w:rPr>
          <w:rFonts w:ascii="Times New Roman" w:hAnsi="Times New Roman" w:cs="Times New Roman"/>
          <w:sz w:val="24"/>
          <w:szCs w:val="24"/>
        </w:rPr>
        <w:t>che meglio risponde</w:t>
      </w:r>
      <w:r w:rsidR="00ED3874">
        <w:rPr>
          <w:rFonts w:ascii="Times New Roman" w:hAnsi="Times New Roman" w:cs="Times New Roman"/>
          <w:sz w:val="24"/>
          <w:szCs w:val="24"/>
        </w:rPr>
        <w:t xml:space="preserve"> </w:t>
      </w:r>
      <w:r w:rsidR="00C20392">
        <w:rPr>
          <w:rFonts w:ascii="Times New Roman" w:hAnsi="Times New Roman" w:cs="Times New Roman"/>
          <w:sz w:val="24"/>
          <w:szCs w:val="24"/>
        </w:rPr>
        <w:t>al</w:t>
      </w:r>
      <w:r w:rsidR="00ED3874">
        <w:rPr>
          <w:rFonts w:ascii="Times New Roman" w:hAnsi="Times New Roman" w:cs="Times New Roman"/>
          <w:sz w:val="24"/>
          <w:szCs w:val="24"/>
        </w:rPr>
        <w:t xml:space="preserve">la prescrizione formale </w:t>
      </w:r>
      <w:r w:rsidR="00ED3874">
        <w:rPr>
          <w:rFonts w:ascii="Times New Roman" w:hAnsi="Times New Roman" w:cs="Times New Roman"/>
          <w:i/>
          <w:sz w:val="24"/>
          <w:szCs w:val="24"/>
        </w:rPr>
        <w:t xml:space="preserve">ex </w:t>
      </w:r>
      <w:r w:rsidR="00ED3874">
        <w:rPr>
          <w:rFonts w:ascii="Times New Roman" w:hAnsi="Times New Roman" w:cs="Times New Roman"/>
          <w:sz w:val="24"/>
          <w:szCs w:val="24"/>
        </w:rPr>
        <w:t xml:space="preserve">art. 23 TUF </w:t>
      </w:r>
      <w:r w:rsidR="00D72EFC">
        <w:rPr>
          <w:rFonts w:ascii="Times New Roman" w:hAnsi="Times New Roman" w:cs="Times New Roman"/>
          <w:sz w:val="24"/>
          <w:szCs w:val="24"/>
        </w:rPr>
        <w:t>sia</w:t>
      </w:r>
      <w:r w:rsidR="00ED3874">
        <w:rPr>
          <w:rFonts w:ascii="Times New Roman" w:hAnsi="Times New Roman" w:cs="Times New Roman"/>
          <w:sz w:val="24"/>
          <w:szCs w:val="24"/>
        </w:rPr>
        <w:t xml:space="preserve"> quella che propende per l’irrilevanza della mancata sottoscrizione del contratto da parte dell’intermediario. In ca</w:t>
      </w:r>
      <w:r w:rsidR="00571E5A">
        <w:rPr>
          <w:rFonts w:ascii="Times New Roman" w:hAnsi="Times New Roman" w:cs="Times New Roman"/>
          <w:sz w:val="24"/>
          <w:szCs w:val="24"/>
        </w:rPr>
        <w:t>so contrario si rischia</w:t>
      </w:r>
      <w:r w:rsidR="00ED3874">
        <w:rPr>
          <w:rFonts w:ascii="Times New Roman" w:hAnsi="Times New Roman" w:cs="Times New Roman"/>
          <w:sz w:val="24"/>
          <w:szCs w:val="24"/>
        </w:rPr>
        <w:t xml:space="preserve"> di dare un peso eccessivo ad un’‘i</w:t>
      </w:r>
      <w:r w:rsidR="00C20392">
        <w:rPr>
          <w:rFonts w:ascii="Times New Roman" w:hAnsi="Times New Roman" w:cs="Times New Roman"/>
          <w:sz w:val="24"/>
          <w:szCs w:val="24"/>
        </w:rPr>
        <w:t>nutile</w:t>
      </w:r>
      <w:r w:rsidR="00ED3874">
        <w:rPr>
          <w:rFonts w:ascii="Times New Roman" w:hAnsi="Times New Roman" w:cs="Times New Roman"/>
          <w:sz w:val="24"/>
          <w:szCs w:val="24"/>
        </w:rPr>
        <w:t>’</w:t>
      </w:r>
      <w:bookmarkStart w:id="0" w:name="_GoBack"/>
      <w:bookmarkEnd w:id="0"/>
      <w:r w:rsidR="00ED3874">
        <w:rPr>
          <w:rFonts w:ascii="Times New Roman" w:hAnsi="Times New Roman" w:cs="Times New Roman"/>
          <w:sz w:val="24"/>
          <w:szCs w:val="24"/>
        </w:rPr>
        <w:t xml:space="preserve"> formalità</w:t>
      </w:r>
      <w:r w:rsidR="00571E5A">
        <w:rPr>
          <w:rFonts w:ascii="Times New Roman" w:hAnsi="Times New Roman" w:cs="Times New Roman"/>
          <w:sz w:val="24"/>
          <w:szCs w:val="24"/>
        </w:rPr>
        <w:t xml:space="preserve"> che sembrerebbe</w:t>
      </w:r>
      <w:r w:rsidR="009D2401">
        <w:rPr>
          <w:rFonts w:ascii="Times New Roman" w:hAnsi="Times New Roman" w:cs="Times New Roman"/>
          <w:sz w:val="24"/>
          <w:szCs w:val="24"/>
        </w:rPr>
        <w:t xml:space="preserve"> essere</w:t>
      </w:r>
      <w:r w:rsidR="00ED3874">
        <w:rPr>
          <w:rFonts w:ascii="Times New Roman" w:hAnsi="Times New Roman" w:cs="Times New Roman"/>
          <w:sz w:val="24"/>
          <w:szCs w:val="24"/>
        </w:rPr>
        <w:t xml:space="preserve"> poco </w:t>
      </w:r>
      <w:r w:rsidR="00C20392">
        <w:rPr>
          <w:rFonts w:ascii="Times New Roman" w:hAnsi="Times New Roman" w:cs="Times New Roman"/>
          <w:sz w:val="24"/>
          <w:szCs w:val="24"/>
        </w:rPr>
        <w:t>in linea</w:t>
      </w:r>
      <w:r w:rsidR="00ED3874">
        <w:rPr>
          <w:rFonts w:ascii="Times New Roman" w:hAnsi="Times New Roman" w:cs="Times New Roman"/>
          <w:sz w:val="24"/>
          <w:szCs w:val="24"/>
        </w:rPr>
        <w:t xml:space="preserve"> con la </w:t>
      </w:r>
      <w:r w:rsidR="00ED3874">
        <w:rPr>
          <w:rFonts w:ascii="Times New Roman" w:hAnsi="Times New Roman" w:cs="Times New Roman"/>
          <w:i/>
          <w:sz w:val="24"/>
          <w:szCs w:val="24"/>
        </w:rPr>
        <w:t xml:space="preserve">ratio </w:t>
      </w:r>
      <w:r w:rsidR="00ED3874">
        <w:rPr>
          <w:rFonts w:ascii="Times New Roman" w:hAnsi="Times New Roman" w:cs="Times New Roman"/>
          <w:sz w:val="24"/>
          <w:szCs w:val="24"/>
        </w:rPr>
        <w:t>della norma.</w:t>
      </w:r>
      <w:r w:rsidR="009D2401">
        <w:rPr>
          <w:rFonts w:ascii="Times New Roman" w:hAnsi="Times New Roman" w:cs="Times New Roman"/>
          <w:sz w:val="24"/>
          <w:szCs w:val="24"/>
        </w:rPr>
        <w:t xml:space="preserve"> Inoltre, qualora si ritenga necessaria la sottoscrizione della banca,</w:t>
      </w:r>
      <w:r w:rsidR="00ED3874">
        <w:rPr>
          <w:rFonts w:ascii="Times New Roman" w:hAnsi="Times New Roman" w:cs="Times New Roman"/>
          <w:sz w:val="24"/>
          <w:szCs w:val="24"/>
        </w:rPr>
        <w:t xml:space="preserve"> </w:t>
      </w:r>
      <w:r w:rsidR="00571E5A">
        <w:rPr>
          <w:rFonts w:ascii="Times New Roman" w:hAnsi="Times New Roman" w:cs="Times New Roman"/>
          <w:sz w:val="24"/>
          <w:szCs w:val="24"/>
        </w:rPr>
        <w:t>non si potrebbe neppure esentarla</w:t>
      </w:r>
      <w:r w:rsidR="009D2401">
        <w:rPr>
          <w:rFonts w:ascii="Times New Roman" w:hAnsi="Times New Roman" w:cs="Times New Roman"/>
          <w:sz w:val="24"/>
          <w:szCs w:val="24"/>
        </w:rPr>
        <w:t xml:space="preserve"> </w:t>
      </w:r>
      <w:r w:rsidR="00ED3874">
        <w:rPr>
          <w:rFonts w:ascii="Times New Roman" w:hAnsi="Times New Roman" w:cs="Times New Roman"/>
          <w:sz w:val="24"/>
          <w:szCs w:val="24"/>
        </w:rPr>
        <w:t xml:space="preserve">da responsabilità per </w:t>
      </w:r>
      <w:r w:rsidR="009D2401">
        <w:rPr>
          <w:rFonts w:ascii="Times New Roman" w:hAnsi="Times New Roman" w:cs="Times New Roman"/>
          <w:sz w:val="24"/>
          <w:szCs w:val="24"/>
        </w:rPr>
        <w:t xml:space="preserve">il solo fatto che si sia limitata a rispettare forme o formalismi. La questione, in tal caso, si sposterebbe sulla ripetibilità di quanto versato a favore del cliente o, ancora, </w:t>
      </w:r>
      <w:r w:rsidR="00571E5A">
        <w:rPr>
          <w:rFonts w:ascii="Times New Roman" w:hAnsi="Times New Roman" w:cs="Times New Roman"/>
          <w:sz w:val="24"/>
          <w:szCs w:val="24"/>
        </w:rPr>
        <w:t>su un’ipotetica</w:t>
      </w:r>
      <w:r w:rsidR="009D2401">
        <w:rPr>
          <w:rFonts w:ascii="Times New Roman" w:hAnsi="Times New Roman" w:cs="Times New Roman"/>
          <w:sz w:val="24"/>
          <w:szCs w:val="24"/>
        </w:rPr>
        <w:t xml:space="preserve"> convalida del contratto nullo (</w:t>
      </w:r>
      <w:r w:rsidR="00571E5A">
        <w:rPr>
          <w:rFonts w:ascii="Times New Roman" w:hAnsi="Times New Roman" w:cs="Times New Roman"/>
          <w:sz w:val="24"/>
          <w:szCs w:val="24"/>
        </w:rPr>
        <w:t>ravvisando</w:t>
      </w:r>
      <w:r w:rsidR="009D2401">
        <w:rPr>
          <w:rFonts w:ascii="Times New Roman" w:hAnsi="Times New Roman" w:cs="Times New Roman"/>
          <w:sz w:val="24"/>
          <w:szCs w:val="24"/>
        </w:rPr>
        <w:t xml:space="preserve"> uno dei casi previsti all’art. 1423 c.c.).</w:t>
      </w:r>
    </w:p>
    <w:sectPr w:rsidR="00FC629B" w:rsidRPr="00ED38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6D"/>
    <w:rsid w:val="001579E3"/>
    <w:rsid w:val="00270BAC"/>
    <w:rsid w:val="00415D6D"/>
    <w:rsid w:val="00571E5A"/>
    <w:rsid w:val="00575263"/>
    <w:rsid w:val="008358F7"/>
    <w:rsid w:val="0095684E"/>
    <w:rsid w:val="009D2401"/>
    <w:rsid w:val="00A65CC2"/>
    <w:rsid w:val="00C20392"/>
    <w:rsid w:val="00D370BF"/>
    <w:rsid w:val="00D72EFC"/>
    <w:rsid w:val="00ED3874"/>
    <w:rsid w:val="00FC62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6ED6"/>
  <w15:chartTrackingRefBased/>
  <w15:docId w15:val="{65FD651C-9152-4CA8-A860-4EFD3441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524</Words>
  <Characters>2989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isufi</dc:creator>
  <cp:keywords/>
  <dc:description/>
  <cp:lastModifiedBy>isufi</cp:lastModifiedBy>
  <cp:revision>6</cp:revision>
  <dcterms:created xsi:type="dcterms:W3CDTF">2017-07-25T16:04:00Z</dcterms:created>
  <dcterms:modified xsi:type="dcterms:W3CDTF">2017-07-25T20:07:00Z</dcterms:modified>
</cp:coreProperties>
</file>